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南昌市青少年宫</w:t>
      </w: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青少年教育培训活动项目支出绩效评价报告</w:t>
      </w:r>
    </w:p>
    <w:p>
      <w:pPr>
        <w:spacing w:line="600" w:lineRule="exact"/>
        <w:rPr>
          <w:rFonts w:ascii="黑体" w:hAnsi="黑体" w:eastAsia="黑体"/>
          <w:b/>
          <w:color w:val="000000"/>
          <w:sz w:val="28"/>
          <w:szCs w:val="28"/>
        </w:rPr>
      </w:pPr>
    </w:p>
    <w:p>
      <w:pPr>
        <w:spacing w:line="56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一、基本情况</w:t>
      </w:r>
    </w:p>
    <w:p>
      <w:pPr>
        <w:spacing w:line="560" w:lineRule="exact"/>
        <w:ind w:firstLine="562" w:firstLineChars="200"/>
        <w:outlineLvl w:val="0"/>
        <w:rPr>
          <w:rFonts w:ascii="楷体_GB2312" w:eastAsia="楷体_GB2312"/>
          <w:b/>
          <w:color w:val="000000"/>
          <w:sz w:val="28"/>
          <w:szCs w:val="28"/>
        </w:rPr>
      </w:pPr>
      <w:r>
        <w:rPr>
          <w:rFonts w:hint="eastAsia" w:ascii="楷体_GB2312" w:eastAsia="楷体_GB2312"/>
          <w:b/>
          <w:color w:val="000000"/>
          <w:sz w:val="28"/>
          <w:szCs w:val="28"/>
        </w:rPr>
        <w:t>（一）项目概况。</w:t>
      </w:r>
    </w:p>
    <w:p>
      <w:pPr>
        <w:spacing w:line="560" w:lineRule="exact"/>
        <w:ind w:firstLine="562" w:firstLineChars="200"/>
        <w:outlineLvl w:val="0"/>
        <w:rPr>
          <w:rFonts w:ascii="宋体" w:hAnsi="宋体" w:cs="仿宋_GB2312"/>
          <w:b/>
          <w:color w:val="000000"/>
          <w:sz w:val="28"/>
          <w:szCs w:val="28"/>
        </w:rPr>
      </w:pPr>
      <w:r>
        <w:rPr>
          <w:rFonts w:hint="eastAsia" w:ascii="宋体" w:hAnsi="宋体" w:cs="仿宋_GB2312"/>
          <w:b/>
          <w:color w:val="000000"/>
          <w:sz w:val="28"/>
          <w:szCs w:val="28"/>
        </w:rPr>
        <w:t>（1）项目背景</w:t>
      </w:r>
    </w:p>
    <w:p>
      <w:pPr>
        <w:spacing w:line="560" w:lineRule="exact"/>
        <w:ind w:firstLine="560" w:firstLineChars="200"/>
        <w:outlineLvl w:val="0"/>
        <w:rPr>
          <w:rFonts w:ascii="宋体" w:hAnsi="宋体" w:cs="仿宋_GB2312"/>
          <w:color w:val="000000"/>
          <w:sz w:val="28"/>
          <w:szCs w:val="28"/>
        </w:rPr>
      </w:pPr>
      <w:r>
        <w:rPr>
          <w:rFonts w:hint="eastAsia" w:ascii="宋体" w:hAnsi="宋体" w:cs="仿宋_GB2312"/>
          <w:color w:val="000000"/>
          <w:sz w:val="28"/>
          <w:szCs w:val="28"/>
        </w:rPr>
        <w:t>南昌市青少年宫青少年教育培训活动项目是南昌市青少年宫履行职能的一项主要内容。按上级团组织总部署，提供文艺、美术等相关培训，组织演出、展览、比赛等活动，促进青少年全面发展，同时满足家长对少年儿童培养的要求，丰富青少年宫的品牌功能。</w:t>
      </w:r>
    </w:p>
    <w:p>
      <w:pPr>
        <w:spacing w:line="560" w:lineRule="exact"/>
        <w:ind w:firstLine="562" w:firstLineChars="200"/>
        <w:outlineLvl w:val="0"/>
        <w:rPr>
          <w:rFonts w:ascii="宋体" w:hAnsi="宋体" w:cs="仿宋_GB2312"/>
          <w:b/>
          <w:color w:val="000000"/>
          <w:sz w:val="28"/>
          <w:szCs w:val="28"/>
        </w:rPr>
      </w:pPr>
      <w:r>
        <w:rPr>
          <w:rFonts w:hint="eastAsia" w:ascii="宋体" w:hAnsi="宋体" w:cs="仿宋_GB2312"/>
          <w:b/>
          <w:color w:val="000000"/>
          <w:sz w:val="28"/>
          <w:szCs w:val="28"/>
        </w:rPr>
        <w:t>（2）主要内容及实施情况</w:t>
      </w:r>
    </w:p>
    <w:p>
      <w:pPr>
        <w:spacing w:line="56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1、培训项目专业类别130个，具体包括：</w:t>
      </w:r>
    </w:p>
    <w:p>
      <w:pPr>
        <w:spacing w:line="56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科技类（小胖人工智能、科技制作、乐米粒、机器人教育、海陆空模型、科学小实验、机电制造、普乐课堂、桌面游戏、魔方、VEX编程（美国）、Scratch动画编程、信息字奥赛实验、无人机编程、AI少儿编程、大颗粒百变工程师、积木搭建）；</w:t>
      </w:r>
      <w:r>
        <w:rPr>
          <w:rFonts w:hint="eastAsia" w:ascii="宋体" w:hAnsi="宋体" w:cs="仿宋_GB2312"/>
          <w:sz w:val="28"/>
          <w:szCs w:val="28"/>
        </w:rPr>
        <w:t xml:space="preserve"> 1+1工程师；数感逻辑类（非遗珠心算、数感逻辑、steam数感思维）；文学素养类（</w:t>
      </w:r>
      <w:bookmarkStart w:id="0" w:name="_GoBack"/>
      <w:bookmarkEnd w:id="0"/>
      <w:r>
        <w:rPr>
          <w:rFonts w:hint="eastAsia" w:ascii="宋体" w:hAnsi="宋体" w:cs="仿宋_GB2312"/>
          <w:sz w:val="28"/>
          <w:szCs w:val="28"/>
        </w:rPr>
        <w:t>阅读绘本、文学素养、中华字经）；</w:t>
      </w:r>
      <w:r>
        <w:rPr>
          <w:rFonts w:hint="eastAsia" w:ascii="宋体" w:hAnsi="宋体" w:cs="仿宋_GB2312"/>
          <w:color w:val="000000"/>
          <w:sz w:val="28"/>
          <w:szCs w:val="28"/>
        </w:rPr>
        <w:t>体验馆（轮滑、拳击、篮球、木艺、射箭、陶艺）；沙盘游戏；注意力培训；学前教育；器乐类（曲笛、长笛、陶笛、梆笛、竹笛、杨琴、柳琴、小提琴、大提琴、低音提琴、钢琴、电子琴、架子鼓、定音鼓、爵士鼓、非洲鼓、笙、高音笙、中音键盘排笙、高胡、中胡、二胡、尤克里里、唢呐、中阮、萨克斯、单簧管、古筝、葫芦丝、琵琶、吉他）；舞蹈类（英奥英语歌舞、肚皮舞、爵士舞、街舞、芭蕾舞、中国舞、拉丁舞、瑜伽）；音乐类（音乐表演、声乐、合唱）；语言类（播音主持，国学礼仪、儿童剧、话剧、语言表演、小主持人、话剧表演）；棋类（围棋、国际象棋、中国象棋）；美术类（素描、手工制作、泥点点手工、油画、版画、陶艺、沙画、国画、儿童画、线描、卡通漫画、综合美术、绘本插画、水粉）；书法类（了如指掌硬笔书法、了如指掌软笔书法、软笔书法、硬笔书法、书法研修）；跆拳道；武术（武术、太极拳、陈氏太极拳）；文体综合（少儿模特、小儿爵士舞、羽毛球、少儿街舞、感统体适能训练）；小红星舞蹈团；小红星民乐团；小红星话剧团；小红星合唱团。</w:t>
      </w:r>
    </w:p>
    <w:p>
      <w:pPr>
        <w:spacing w:line="56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2、组织文艺演出；组织美术书法展览；组织参加有关比赛；参加全国“双有 ”活动；开展流动少年宫关爱农村留守儿童活动；围绕传统节日开展节日主题活动；围绕少儿培养开展专业技能活动。</w:t>
      </w:r>
    </w:p>
    <w:p>
      <w:pPr>
        <w:spacing w:line="560" w:lineRule="exact"/>
        <w:ind w:firstLine="562" w:firstLineChars="200"/>
        <w:rPr>
          <w:rFonts w:ascii="宋体" w:hAnsi="宋体" w:cs="仿宋_GB2312"/>
          <w:b/>
          <w:color w:val="000000"/>
          <w:sz w:val="28"/>
          <w:szCs w:val="28"/>
        </w:rPr>
      </w:pPr>
      <w:r>
        <w:rPr>
          <w:rFonts w:hint="eastAsia" w:ascii="宋体" w:hAnsi="宋体" w:cs="仿宋_GB2312"/>
          <w:b/>
          <w:color w:val="000000"/>
          <w:sz w:val="28"/>
          <w:szCs w:val="28"/>
        </w:rPr>
        <w:t>（3）资金投入和使用情况</w:t>
      </w:r>
    </w:p>
    <w:p>
      <w:pPr>
        <w:spacing w:line="56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南昌市青少年宫青少年教育培训活动项目经费实行收支两条线并纳入预算管理的方式保障。南昌市财政局根据南昌市青少年宫缴入财政账户的培训费收入情况，通过年度预算的方式下达南昌市青少年宫青少年教育培训活动项目经费。</w:t>
      </w:r>
    </w:p>
    <w:p>
      <w:pPr>
        <w:spacing w:line="560" w:lineRule="exact"/>
        <w:ind w:firstLine="560" w:firstLineChars="200"/>
        <w:rPr>
          <w:rFonts w:ascii="宋体" w:hAnsi="宋体" w:cs="仿宋_GB2312"/>
          <w:color w:val="000000"/>
          <w:sz w:val="28"/>
          <w:szCs w:val="28"/>
        </w:rPr>
      </w:pPr>
      <w:r>
        <w:rPr>
          <w:rFonts w:hint="eastAsia" w:ascii="宋体" w:hAnsi="宋体" w:cs="仿宋_GB2312"/>
          <w:color w:val="000000"/>
          <w:sz w:val="28"/>
          <w:szCs w:val="28"/>
        </w:rPr>
        <w:t>2022年实际下达南昌市青少年宫青少年教育培训项目活动经费2541万元，实际支出2541万元。其中劳务费1693万元，维修费90万元，物业管理费195万元，专用材料费100万元 ，差旅费4万元，水费16万元，电费90万元，印刷费32万元，租赁费180万元，培训费6万元，咨询费55万元，其他商品服务支出10万元。专用设备购置费70万元。</w:t>
      </w:r>
    </w:p>
    <w:p>
      <w:pPr>
        <w:spacing w:line="560" w:lineRule="exact"/>
        <w:ind w:firstLine="562" w:firstLineChars="200"/>
        <w:outlineLvl w:val="0"/>
        <w:rPr>
          <w:rFonts w:ascii="楷体_GB2312" w:eastAsia="楷体_GB2312"/>
          <w:b/>
          <w:color w:val="000000"/>
          <w:sz w:val="28"/>
          <w:szCs w:val="28"/>
        </w:rPr>
      </w:pPr>
      <w:r>
        <w:rPr>
          <w:rFonts w:hint="eastAsia" w:ascii="楷体_GB2312" w:eastAsia="楷体_GB2312"/>
          <w:b/>
          <w:color w:val="000000"/>
          <w:sz w:val="28"/>
          <w:szCs w:val="28"/>
        </w:rPr>
        <w:t>（二）项目绩效目标。</w:t>
      </w:r>
    </w:p>
    <w:p>
      <w:pPr>
        <w:spacing w:line="560" w:lineRule="exact"/>
        <w:ind w:firstLine="562" w:firstLineChars="200"/>
        <w:outlineLvl w:val="0"/>
        <w:rPr>
          <w:rFonts w:ascii="宋体" w:hAnsi="宋体" w:cs="仿宋_GB2312"/>
          <w:b/>
          <w:color w:val="000000"/>
          <w:kern w:val="0"/>
          <w:sz w:val="28"/>
          <w:szCs w:val="28"/>
        </w:rPr>
      </w:pPr>
      <w:r>
        <w:rPr>
          <w:rFonts w:hint="eastAsia" w:ascii="宋体" w:hAnsi="宋体" w:cs="仿宋_GB2312"/>
          <w:b/>
          <w:color w:val="000000"/>
          <w:kern w:val="0"/>
          <w:sz w:val="28"/>
          <w:szCs w:val="28"/>
        </w:rPr>
        <w:t>（1）总体目标</w:t>
      </w:r>
    </w:p>
    <w:p>
      <w:pPr>
        <w:spacing w:line="560" w:lineRule="exact"/>
        <w:ind w:firstLine="560" w:firstLineChars="200"/>
        <w:outlineLvl w:val="0"/>
        <w:rPr>
          <w:rFonts w:ascii="宋体" w:hAnsi="宋体" w:cs="仿宋_GB2312"/>
          <w:color w:val="000000"/>
          <w:kern w:val="0"/>
          <w:sz w:val="28"/>
          <w:szCs w:val="28"/>
        </w:rPr>
      </w:pPr>
      <w:r>
        <w:rPr>
          <w:rFonts w:hint="eastAsia" w:ascii="宋体" w:hAnsi="宋体" w:cs="仿宋_GB2312"/>
          <w:color w:val="000000"/>
          <w:kern w:val="0"/>
          <w:sz w:val="28"/>
          <w:szCs w:val="28"/>
        </w:rPr>
        <w:t>根据团市委的要求和南昌市青少年宫的工作计划，2022年</w:t>
      </w:r>
      <w:r>
        <w:rPr>
          <w:rFonts w:hint="eastAsia" w:ascii="宋体" w:hAnsi="宋体" w:cs="仿宋_GB2312"/>
          <w:color w:val="000000"/>
          <w:sz w:val="28"/>
          <w:szCs w:val="28"/>
        </w:rPr>
        <w:t>青少年教育培训活动</w:t>
      </w:r>
      <w:r>
        <w:rPr>
          <w:rFonts w:hint="eastAsia" w:ascii="宋体" w:hAnsi="宋体" w:cs="仿宋_GB2312"/>
          <w:color w:val="000000"/>
          <w:kern w:val="0"/>
          <w:sz w:val="28"/>
          <w:szCs w:val="28"/>
        </w:rPr>
        <w:t xml:space="preserve">项目总体目标为：“一宫四地”要做到团结一致、四位一体、万众一心，让南昌市青少年宫成为精英荟萃的儿童摇篮，打造专业覆盖更全面，活动开展更优质、教学服务更完美的校外教育阵地。 </w:t>
      </w:r>
    </w:p>
    <w:p>
      <w:pPr>
        <w:spacing w:line="560" w:lineRule="exact"/>
        <w:ind w:firstLine="562" w:firstLineChars="200"/>
        <w:outlineLvl w:val="0"/>
        <w:rPr>
          <w:rFonts w:ascii="宋体" w:hAnsi="宋体" w:cs="仿宋_GB2312"/>
          <w:b/>
          <w:color w:val="000000"/>
          <w:kern w:val="0"/>
          <w:sz w:val="28"/>
          <w:szCs w:val="28"/>
        </w:rPr>
      </w:pPr>
      <w:r>
        <w:rPr>
          <w:rFonts w:hint="eastAsia" w:ascii="宋体" w:hAnsi="宋体" w:cs="仿宋_GB2312"/>
          <w:b/>
          <w:color w:val="000000"/>
          <w:kern w:val="0"/>
          <w:sz w:val="28"/>
          <w:szCs w:val="28"/>
        </w:rPr>
        <w:t>(2)阶段性目标</w:t>
      </w:r>
    </w:p>
    <w:p>
      <w:pPr>
        <w:spacing w:line="560" w:lineRule="exact"/>
        <w:ind w:firstLine="560" w:firstLineChars="200"/>
        <w:outlineLvl w:val="0"/>
        <w:rPr>
          <w:rFonts w:ascii="宋体" w:hAnsi="宋体" w:cs="仿宋_GB2312"/>
          <w:color w:val="000000"/>
          <w:kern w:val="0"/>
          <w:sz w:val="28"/>
          <w:szCs w:val="28"/>
        </w:rPr>
      </w:pPr>
      <w:r>
        <w:rPr>
          <w:rFonts w:hint="eastAsia" w:ascii="宋体" w:hAnsi="宋体" w:cs="仿宋_GB2312"/>
          <w:color w:val="000000"/>
          <w:kern w:val="0"/>
          <w:sz w:val="28"/>
          <w:szCs w:val="28"/>
        </w:rPr>
        <w:t xml:space="preserve">在宫领导的带领和全体教职工的共同努力下，严格按照资金预算，结合南昌市青少年宫的工作计划和招生培训计划，较好完成了少儿培训项目的内容。              </w:t>
      </w:r>
    </w:p>
    <w:p>
      <w:pPr>
        <w:spacing w:line="560" w:lineRule="exact"/>
        <w:ind w:firstLine="560" w:firstLineChars="200"/>
        <w:outlineLvl w:val="0"/>
        <w:rPr>
          <w:rFonts w:ascii="宋体" w:hAnsi="宋体" w:cs="仿宋_GB2312"/>
          <w:color w:val="000000"/>
          <w:kern w:val="0"/>
          <w:sz w:val="28"/>
          <w:szCs w:val="28"/>
        </w:rPr>
      </w:pPr>
      <w:r>
        <w:rPr>
          <w:rFonts w:hint="eastAsia" w:ascii="黑体" w:hAnsi="黑体" w:eastAsia="黑体"/>
          <w:color w:val="000000"/>
          <w:sz w:val="28"/>
          <w:szCs w:val="28"/>
        </w:rPr>
        <w:t>二、绩效评价工作开展情况</w:t>
      </w:r>
    </w:p>
    <w:p>
      <w:pPr>
        <w:spacing w:line="560" w:lineRule="exact"/>
        <w:ind w:firstLine="562" w:firstLineChars="200"/>
        <w:outlineLvl w:val="0"/>
        <w:rPr>
          <w:rFonts w:ascii="楷体_GB2312" w:eastAsia="楷体_GB2312"/>
          <w:b/>
          <w:color w:val="000000"/>
          <w:sz w:val="28"/>
          <w:szCs w:val="28"/>
        </w:rPr>
      </w:pPr>
      <w:r>
        <w:rPr>
          <w:rFonts w:hint="eastAsia" w:ascii="楷体_GB2312" w:eastAsia="楷体_GB2312"/>
          <w:b/>
          <w:color w:val="000000"/>
          <w:sz w:val="28"/>
          <w:szCs w:val="28"/>
        </w:rPr>
        <w:t>（一）绩效评价目的、对象和范围。</w:t>
      </w:r>
    </w:p>
    <w:p>
      <w:pPr>
        <w:spacing w:line="560" w:lineRule="exact"/>
        <w:ind w:firstLine="560" w:firstLineChars="200"/>
        <w:outlineLvl w:val="0"/>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目的：运用一定的量化指标及评价标准，通过单位履行职能所确定的绩效目标的实现程度，及为实现这一目标所安排预算的执行结果进行综合性评价，以此来了解资金使用是否达到预期目标、资金管理是否规范、资金使用是否有效，检验资金支出效率和效果，分析存在问题及原因，及时总结经验，改进管理措施，不断增强和落实绩效管理责任，完善工作机制，有效提高资金管理水平和使用效益，牢固树立“讲绩效、重绩效、用绩效”的绩效管理理念。</w:t>
      </w:r>
    </w:p>
    <w:p>
      <w:pPr>
        <w:spacing w:line="560" w:lineRule="exact"/>
        <w:ind w:firstLine="560" w:firstLineChars="200"/>
        <w:outlineLvl w:val="0"/>
        <w:rPr>
          <w:rFonts w:ascii="宋体" w:hAnsi="宋体"/>
          <w:color w:val="000000"/>
          <w:sz w:val="28"/>
          <w:szCs w:val="28"/>
        </w:rPr>
      </w:pPr>
      <w:r>
        <w:rPr>
          <w:rFonts w:hint="eastAsia" w:cs="仿宋_GB2312" w:asciiTheme="minorEastAsia" w:hAnsiTheme="minorEastAsia" w:eastAsiaTheme="minorEastAsia"/>
          <w:color w:val="000000"/>
          <w:kern w:val="0"/>
          <w:sz w:val="28"/>
          <w:szCs w:val="28"/>
        </w:rPr>
        <w:t>对象和范围：南昌市青少年宫履行单位职责及每年度开展的</w:t>
      </w:r>
      <w:r>
        <w:rPr>
          <w:rFonts w:hint="eastAsia" w:ascii="宋体" w:hAnsi="宋体" w:cs="仿宋_GB2312"/>
          <w:color w:val="000000"/>
          <w:sz w:val="28"/>
          <w:szCs w:val="28"/>
        </w:rPr>
        <w:t>青少年教育培训</w:t>
      </w:r>
      <w:r>
        <w:rPr>
          <w:rFonts w:hint="eastAsia" w:cs="仿宋_GB2312" w:asciiTheme="minorEastAsia" w:hAnsiTheme="minorEastAsia" w:eastAsiaTheme="minorEastAsia"/>
          <w:color w:val="000000"/>
          <w:kern w:val="0"/>
          <w:sz w:val="28"/>
          <w:szCs w:val="28"/>
        </w:rPr>
        <w:t>活动项目。</w:t>
      </w:r>
    </w:p>
    <w:p>
      <w:pPr>
        <w:spacing w:line="560" w:lineRule="exact"/>
        <w:ind w:firstLine="562" w:firstLineChars="200"/>
        <w:outlineLvl w:val="0"/>
        <w:rPr>
          <w:rFonts w:ascii="楷体_GB2312" w:eastAsia="楷体_GB2312"/>
          <w:b/>
          <w:color w:val="000000"/>
          <w:sz w:val="28"/>
          <w:szCs w:val="28"/>
        </w:rPr>
      </w:pPr>
      <w:r>
        <w:rPr>
          <w:rFonts w:hint="eastAsia" w:ascii="楷体_GB2312" w:eastAsia="楷体_GB2312"/>
          <w:b/>
          <w:color w:val="000000"/>
          <w:sz w:val="28"/>
          <w:szCs w:val="28"/>
        </w:rPr>
        <w:t>（二）绩效评价原则、评价指标体系（附表说明）、评价方法、评价标准等。</w:t>
      </w:r>
    </w:p>
    <w:p>
      <w:pPr>
        <w:spacing w:line="560" w:lineRule="exact"/>
        <w:ind w:firstLine="560" w:firstLineChars="200"/>
        <w:outlineLvl w:val="0"/>
        <w:rPr>
          <w:rFonts w:ascii="宋体" w:hAnsi="宋体"/>
          <w:color w:val="000000"/>
          <w:sz w:val="28"/>
          <w:szCs w:val="28"/>
        </w:rPr>
      </w:pPr>
      <w:r>
        <w:rPr>
          <w:rFonts w:hint="eastAsia" w:cs="仿宋_GB2312" w:asciiTheme="minorEastAsia" w:hAnsiTheme="minorEastAsia" w:eastAsiaTheme="minorEastAsia"/>
          <w:color w:val="000000"/>
          <w:kern w:val="0"/>
          <w:sz w:val="28"/>
          <w:szCs w:val="28"/>
        </w:rPr>
        <w:t>1.评价原则：</w:t>
      </w:r>
      <w:r>
        <w:rPr>
          <w:rFonts w:hint="eastAsia" w:ascii="宋体" w:hAnsi="宋体"/>
          <w:color w:val="000000"/>
          <w:sz w:val="28"/>
          <w:szCs w:val="28"/>
        </w:rPr>
        <w:t>客观、科学、公正的原则；综合绩效评价原则；定量分析与定性分析的原则；统筹规划，稳步推进的原则；财政支出绩效评价与财政支出管理相结合的原则；财政支出绩效评价贯彻事前、事中、事后的原则。</w:t>
      </w:r>
    </w:p>
    <w:p>
      <w:pPr>
        <w:spacing w:line="560" w:lineRule="exact"/>
        <w:ind w:firstLine="560" w:firstLineChars="200"/>
        <w:rPr>
          <w:rFonts w:cs="仿宋_GB2312" w:asciiTheme="minorEastAsia" w:hAnsiTheme="minorEastAsia" w:eastAsiaTheme="minorEastAsia"/>
          <w:color w:val="000000"/>
          <w:kern w:val="0"/>
          <w:sz w:val="28"/>
          <w:szCs w:val="28"/>
        </w:rPr>
      </w:pPr>
      <w:r>
        <w:rPr>
          <w:rFonts w:hint="eastAsia" w:cs="仿宋_GB2312" w:asciiTheme="minorEastAsia" w:hAnsiTheme="minorEastAsia" w:eastAsiaTheme="minorEastAsia"/>
          <w:color w:val="000000"/>
          <w:kern w:val="0"/>
          <w:sz w:val="28"/>
          <w:szCs w:val="28"/>
        </w:rPr>
        <w:t>2.评价指标体系：</w:t>
      </w:r>
    </w:p>
    <w:p>
      <w:pPr>
        <w:spacing w:line="600" w:lineRule="exact"/>
        <w:ind w:firstLine="560" w:firstLineChars="200"/>
        <w:rPr>
          <w:rFonts w:cs="仿宋_GB2312" w:asciiTheme="minorEastAsia" w:hAnsiTheme="minorEastAsia" w:eastAsiaTheme="minorEastAsia"/>
          <w:color w:val="000000"/>
          <w:kern w:val="0"/>
          <w:sz w:val="28"/>
          <w:szCs w:val="28"/>
        </w:rPr>
      </w:pPr>
      <w:r>
        <w:rPr>
          <w:rFonts w:cs="仿宋_GB2312" w:asciiTheme="minorEastAsia" w:hAnsiTheme="minorEastAsia" w:eastAsiaTheme="minorEastAsia"/>
          <w:color w:val="000000"/>
          <w:kern w:val="0"/>
          <w:sz w:val="28"/>
          <w:szCs w:val="28"/>
        </w:rPr>
        <w:drawing>
          <wp:anchor distT="0" distB="0" distL="114300" distR="114300" simplePos="0" relativeHeight="251659264" behindDoc="0" locked="0" layoutInCell="1" allowOverlap="1">
            <wp:simplePos x="0" y="0"/>
            <wp:positionH relativeFrom="column">
              <wp:posOffset>52070</wp:posOffset>
            </wp:positionH>
            <wp:positionV relativeFrom="paragraph">
              <wp:posOffset>271145</wp:posOffset>
            </wp:positionV>
            <wp:extent cx="5762625" cy="5762625"/>
            <wp:effectExtent l="19050" t="0" r="9525"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7"/>
                    <a:srcRect t="32251"/>
                    <a:stretch>
                      <a:fillRect/>
                    </a:stretch>
                  </pic:blipFill>
                  <pic:spPr>
                    <a:xfrm>
                      <a:off x="0" y="0"/>
                      <a:ext cx="5762625" cy="5762625"/>
                    </a:xfrm>
                    <a:prstGeom prst="rect">
                      <a:avLst/>
                    </a:prstGeom>
                    <a:noFill/>
                    <a:ln w="9525">
                      <a:noFill/>
                      <a:miter lim="800000"/>
                      <a:headEnd/>
                      <a:tailEnd/>
                    </a:ln>
                  </pic:spPr>
                </pic:pic>
              </a:graphicData>
            </a:graphic>
          </wp:anchor>
        </w:drawing>
      </w: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600" w:lineRule="exact"/>
        <w:ind w:firstLine="560" w:firstLineChars="200"/>
        <w:rPr>
          <w:rFonts w:cs="仿宋_GB2312" w:asciiTheme="minorEastAsia" w:hAnsiTheme="minorEastAsia" w:eastAsiaTheme="minorEastAsia"/>
          <w:color w:val="000000"/>
          <w:kern w:val="0"/>
          <w:sz w:val="28"/>
          <w:szCs w:val="28"/>
        </w:rPr>
      </w:pPr>
    </w:p>
    <w:p>
      <w:pPr>
        <w:spacing w:line="560" w:lineRule="exact"/>
        <w:ind w:firstLine="560" w:firstLineChars="200"/>
        <w:rPr>
          <w:rFonts w:ascii="宋体" w:hAnsi="宋体"/>
          <w:color w:val="000000"/>
          <w:sz w:val="28"/>
          <w:szCs w:val="28"/>
        </w:rPr>
      </w:pPr>
      <w:r>
        <w:rPr>
          <w:rFonts w:hint="eastAsia" w:cs="仿宋_GB2312" w:asciiTheme="minorEastAsia" w:hAnsiTheme="minorEastAsia" w:eastAsiaTheme="minorEastAsia"/>
          <w:color w:val="000000"/>
          <w:kern w:val="0"/>
          <w:sz w:val="28"/>
          <w:szCs w:val="28"/>
        </w:rPr>
        <w:t>3.评价方法：</w:t>
      </w:r>
      <w:r>
        <w:rPr>
          <w:rFonts w:hint="eastAsia" w:ascii="宋体" w:hAnsi="宋体"/>
          <w:color w:val="000000"/>
          <w:sz w:val="28"/>
          <w:szCs w:val="28"/>
        </w:rPr>
        <w:t>对财政支出的绩效评价采用比较法、成本效益分析法、因素分析法、专家评价与公众评议法，定量分析与定性分析相结合的综合判断法及问卷调查等方法。</w:t>
      </w:r>
    </w:p>
    <w:p>
      <w:pPr>
        <w:spacing w:line="560" w:lineRule="exact"/>
        <w:ind w:firstLine="560" w:firstLineChars="200"/>
        <w:rPr>
          <w:rFonts w:cs="仿宋_GB2312" w:asciiTheme="minorEastAsia" w:hAnsiTheme="minorEastAsia" w:eastAsiaTheme="minorEastAsia"/>
          <w:color w:val="000000"/>
          <w:kern w:val="0"/>
          <w:sz w:val="28"/>
          <w:szCs w:val="28"/>
        </w:rPr>
      </w:pPr>
      <w:r>
        <w:rPr>
          <w:rFonts w:hint="eastAsia" w:ascii="宋体" w:hAnsi="宋体"/>
          <w:color w:val="000000"/>
          <w:sz w:val="28"/>
          <w:szCs w:val="28"/>
        </w:rPr>
        <w:t>4.评价标准：</w:t>
      </w:r>
      <w:r>
        <w:rPr>
          <w:rFonts w:hint="eastAsia" w:cs="仿宋_GB2312" w:asciiTheme="minorEastAsia" w:hAnsiTheme="minorEastAsia" w:eastAsiaTheme="minorEastAsia"/>
          <w:color w:val="000000"/>
          <w:kern w:val="0"/>
          <w:sz w:val="28"/>
          <w:szCs w:val="28"/>
        </w:rPr>
        <w:t>以《南昌市财政局关于开展2022年度单位自评及部门评价工作的通知》（洪财绩〔2023〕1号）文件要求，以项目预算申报情况为标准。</w:t>
      </w:r>
      <w:r>
        <w:rPr>
          <w:rFonts w:hint="eastAsia" w:ascii="宋体" w:hAnsi="宋体"/>
          <w:color w:val="000000"/>
          <w:sz w:val="28"/>
          <w:szCs w:val="28"/>
        </w:rPr>
        <w:t>在对项目资料充分了解、分析的基础上，评价工作小组设计项目绩效评价体系，形成针对性强的评价指标。</w:t>
      </w:r>
      <w:r>
        <w:rPr>
          <w:rFonts w:hint="eastAsia" w:cs="仿宋_GB2312" w:asciiTheme="minorEastAsia" w:hAnsiTheme="minorEastAsia" w:eastAsiaTheme="minorEastAsia"/>
          <w:color w:val="000000"/>
          <w:kern w:val="0"/>
          <w:sz w:val="28"/>
          <w:szCs w:val="28"/>
        </w:rPr>
        <w:t>项目支出绩效评价指标包括5个一级指标，分别为：资金支付指标10分，产出指标46分，效益指标24分，满意度指标20分。一级指标下各设定了若干个二级指标和三级指标及其分值，共计100分。</w:t>
      </w:r>
    </w:p>
    <w:p>
      <w:pPr>
        <w:spacing w:line="560" w:lineRule="exact"/>
        <w:ind w:firstLine="562" w:firstLineChars="200"/>
        <w:rPr>
          <w:rFonts w:ascii="楷体_GB2312" w:eastAsia="楷体_GB2312"/>
          <w:b/>
          <w:color w:val="000000"/>
          <w:sz w:val="28"/>
          <w:szCs w:val="28"/>
        </w:rPr>
      </w:pPr>
      <w:r>
        <w:rPr>
          <w:rFonts w:hint="eastAsia" w:ascii="楷体_GB2312" w:eastAsia="楷体_GB2312"/>
          <w:b/>
          <w:color w:val="000000"/>
          <w:sz w:val="28"/>
          <w:szCs w:val="28"/>
        </w:rPr>
        <w:t>（三）绩效评价工作过程。</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（1）准备阶段</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2023年3月前，成立项目绩效评价小组，拟定项目绩效评价实施方案，设计项目绩效评价指标体系。</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（2）实施阶段</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①下发项目绩效评价实施方案。根据</w:t>
      </w:r>
      <w:r>
        <w:rPr>
          <w:rFonts w:hint="eastAsia" w:cs="仿宋_GB2312" w:asciiTheme="minorEastAsia" w:hAnsiTheme="minorEastAsia" w:eastAsiaTheme="minorEastAsia"/>
          <w:color w:val="000000"/>
          <w:kern w:val="0"/>
          <w:sz w:val="28"/>
          <w:szCs w:val="28"/>
        </w:rPr>
        <w:t>《南昌市财政局关于开展2022年度单位自评及部门评价工作的通知》（洪财绩〔2023〕1号）</w:t>
      </w:r>
      <w:r>
        <w:rPr>
          <w:rFonts w:hint="eastAsia" w:ascii="宋体" w:hAnsi="宋体"/>
          <w:color w:val="000000"/>
          <w:sz w:val="28"/>
          <w:szCs w:val="28"/>
        </w:rPr>
        <w:t>要求，召开项目绩效评价工作会议，对开展项目绩效评价进行具体部署。</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②收集整理资料。收集整理各部门2022年学生培训情况，举办公益性活动，有关学生学籍及教学管理制度，外聘老师管理制度，政府采购管理制度，资产管理制度，财务管理等制度资料。</w:t>
      </w:r>
    </w:p>
    <w:p>
      <w:pPr>
        <w:spacing w:line="560" w:lineRule="exact"/>
        <w:ind w:firstLine="560" w:firstLineChars="200"/>
        <w:outlineLvl w:val="0"/>
        <w:rPr>
          <w:rFonts w:ascii="宋体" w:hAnsi="宋体"/>
          <w:color w:val="000000"/>
          <w:sz w:val="28"/>
          <w:szCs w:val="28"/>
        </w:rPr>
      </w:pPr>
      <w:r>
        <w:rPr>
          <w:rFonts w:hint="eastAsia" w:ascii="宋体" w:hAnsi="宋体"/>
          <w:color w:val="000000"/>
          <w:sz w:val="28"/>
          <w:szCs w:val="28"/>
        </w:rPr>
        <w:t>③开展项目绩效评价。评价小组听取各部门对项目实施情况的汇报，查阅，核实有关数据资料，开展问卷调查，实施分析评价。</w:t>
      </w:r>
    </w:p>
    <w:p>
      <w:pPr>
        <w:spacing w:line="560" w:lineRule="exact"/>
        <w:ind w:firstLine="576" w:firstLineChars="200"/>
        <w:rPr>
          <w:rFonts w:ascii="黑体" w:eastAsia="黑体"/>
          <w:color w:val="000000"/>
          <w:spacing w:val="4"/>
          <w:sz w:val="28"/>
          <w:szCs w:val="28"/>
        </w:rPr>
      </w:pPr>
      <w:r>
        <w:rPr>
          <w:rFonts w:hint="eastAsia" w:ascii="黑体" w:hAnsi="黑体" w:eastAsia="黑体"/>
          <w:color w:val="000000"/>
          <w:spacing w:val="4"/>
          <w:sz w:val="28"/>
          <w:szCs w:val="28"/>
        </w:rPr>
        <w:t>三、综合评价情况及评价结论（附相关评分表）</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(一）综合评价情况</w:t>
      </w:r>
    </w:p>
    <w:p>
      <w:pPr>
        <w:spacing w:line="500" w:lineRule="exact"/>
        <w:jc w:val="center"/>
        <w:rPr>
          <w:rFonts w:ascii="宋体" w:hAnsi="宋体"/>
          <w:color w:val="000000"/>
          <w:sz w:val="28"/>
          <w:szCs w:val="28"/>
        </w:rPr>
      </w:pPr>
      <w:r>
        <w:rPr>
          <w:rFonts w:hint="eastAsia" w:ascii="宋体" w:hAnsi="宋体"/>
          <w:color w:val="000000"/>
          <w:sz w:val="28"/>
          <w:szCs w:val="28"/>
        </w:rPr>
        <w:drawing>
          <wp:anchor distT="0" distB="0" distL="114300" distR="114300" simplePos="0" relativeHeight="251660288" behindDoc="1" locked="0" layoutInCell="1" allowOverlap="1">
            <wp:simplePos x="0" y="0"/>
            <wp:positionH relativeFrom="column">
              <wp:posOffset>23495</wp:posOffset>
            </wp:positionH>
            <wp:positionV relativeFrom="paragraph">
              <wp:posOffset>80645</wp:posOffset>
            </wp:positionV>
            <wp:extent cx="5612130" cy="7886700"/>
            <wp:effectExtent l="19050" t="0" r="7620" b="0"/>
            <wp:wrapTight wrapText="bothSides">
              <wp:wrapPolygon>
                <wp:start x="0" y="0"/>
                <wp:lineTo x="0" y="21579"/>
                <wp:lineTo x="21527" y="21579"/>
                <wp:lineTo x="21527" y="0"/>
                <wp:lineTo x="0" y="0"/>
              </wp:wrapPolygon>
            </wp:wrapTight>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7"/>
                    <a:srcRect t="4718" r="-38"/>
                    <a:stretch>
                      <a:fillRect/>
                    </a:stretch>
                  </pic:blipFill>
                  <pic:spPr>
                    <a:xfrm>
                      <a:off x="0" y="0"/>
                      <a:ext cx="5612130" cy="7886700"/>
                    </a:xfrm>
                    <a:prstGeom prst="rect">
                      <a:avLst/>
                    </a:prstGeom>
                    <a:noFill/>
                    <a:ln w="9525">
                      <a:noFill/>
                      <a:miter lim="800000"/>
                      <a:headEnd/>
                      <a:tailEnd/>
                    </a:ln>
                  </pic:spPr>
                </pic:pic>
              </a:graphicData>
            </a:graphic>
          </wp:anchor>
        </w:drawing>
      </w:r>
    </w:p>
    <w:p>
      <w:pPr>
        <w:spacing w:line="500" w:lineRule="exact"/>
        <w:rPr>
          <w:rFonts w:ascii="宋体" w:hAnsi="宋体"/>
          <w:color w:val="000000"/>
          <w:sz w:val="28"/>
          <w:szCs w:val="28"/>
        </w:rPr>
      </w:pPr>
    </w:p>
    <w:p>
      <w:pPr>
        <w:spacing w:line="560" w:lineRule="exact"/>
        <w:ind w:firstLine="562" w:firstLineChars="200"/>
        <w:rPr>
          <w:rFonts w:ascii="宋体" w:hAnsi="宋体"/>
          <w:b/>
          <w:color w:val="000000"/>
          <w:sz w:val="28"/>
          <w:szCs w:val="28"/>
        </w:rPr>
      </w:pPr>
      <w:r>
        <w:rPr>
          <w:rFonts w:hint="eastAsia" w:ascii="宋体" w:hAnsi="宋体"/>
          <w:b/>
          <w:color w:val="000000"/>
          <w:sz w:val="28"/>
          <w:szCs w:val="28"/>
        </w:rPr>
        <w:t>（二）评价结论</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通过核实数据、查阅资料、实地查看、发放问卷调查、归纳汇总等工作，南昌市青少年宫青少年教育培训活动项目绩效评价领导小组对各项评价指标进行分析讨论，南昌市少年宫2022年度少儿培训项目绩效评价得分84.41分，评价等级为良。</w:t>
      </w:r>
    </w:p>
    <w:p>
      <w:pPr>
        <w:spacing w:line="56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四、绩效评价指标分析</w:t>
      </w:r>
    </w:p>
    <w:p>
      <w:pPr>
        <w:spacing w:line="560" w:lineRule="exact"/>
        <w:ind w:firstLine="562" w:firstLineChars="200"/>
        <w:rPr>
          <w:rFonts w:cs="仿宋_GB2312" w:asciiTheme="minorEastAsia" w:hAnsiTheme="minorEastAsia" w:eastAsiaTheme="minorEastAsia"/>
          <w:b/>
          <w:color w:val="000000"/>
          <w:kern w:val="0"/>
          <w:sz w:val="28"/>
          <w:szCs w:val="28"/>
        </w:rPr>
      </w:pPr>
      <w:r>
        <w:rPr>
          <w:rFonts w:hint="eastAsia" w:cs="仿宋_GB2312" w:asciiTheme="minorEastAsia" w:hAnsiTheme="minorEastAsia" w:eastAsiaTheme="minorEastAsia"/>
          <w:b/>
          <w:color w:val="000000"/>
          <w:kern w:val="0"/>
          <w:sz w:val="28"/>
          <w:szCs w:val="28"/>
        </w:rPr>
        <w:t>（一）项目过程情况分析</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1、项目资金管理资金到位率、预算执行率、资金使用合规性情况分析（分值10分，得分10分）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2022年南昌市青少年宫青少年教育培训活动项目资金预算安排2541万元，实际到位资金2541万元，资金到位率100%，预算支出2541万元，预算执行率100%，得10分。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该项目资金使用依照《南昌市青少年宫财务管理制度》等财务管理制度执行，资金的拨付有完整的审批程序和手续，且符合项目预算批复或合同规定的用途；在本次评价过程中，对该项目支出涉及的全部凭证进行了核查，未发现截留、挤占、挪用、虚列支出等情况，资金使用合规性较好。</w:t>
      </w:r>
    </w:p>
    <w:p>
      <w:pPr>
        <w:spacing w:line="560" w:lineRule="exact"/>
        <w:ind w:firstLine="562" w:firstLineChars="200"/>
        <w:rPr>
          <w:rFonts w:cs="仿宋_GB2312" w:asciiTheme="minorEastAsia" w:hAnsiTheme="minorEastAsia" w:eastAsiaTheme="minorEastAsia"/>
          <w:b/>
          <w:color w:val="000000"/>
          <w:kern w:val="0"/>
          <w:sz w:val="28"/>
          <w:szCs w:val="28"/>
        </w:rPr>
      </w:pPr>
      <w:r>
        <w:rPr>
          <w:rFonts w:hint="eastAsia" w:cs="仿宋_GB2312" w:asciiTheme="minorEastAsia" w:hAnsiTheme="minorEastAsia" w:eastAsiaTheme="minorEastAsia"/>
          <w:b/>
          <w:color w:val="000000"/>
          <w:kern w:val="0"/>
          <w:sz w:val="28"/>
          <w:szCs w:val="28"/>
        </w:rPr>
        <w:t>（二）项目产出情况分析</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1、产出数量指标情况分析（分值17分，得分14分）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全年培训学生30000人次，培训班开班数量1800个。继续做好14个免费培训社区少年宫教学点的管理工作，充分发挥社区和少年宫等公益性未成年人校外教育活动场所的重要作用，为更多农民工子弟和贫困家庭的孩子们提供免费的良好教育。一如既往地开展流动少年宫关爱农村留守儿童活动，组织优秀专业教师，走进农村和边远校区，给留守儿童送去优质的校外教育课程和教学设备。以传统节日为阵地，推出系列节日主题活动。比赛场次；文艺演出场次；受疫情影响，2022年各项比赛演出展览活动未能正常开展，扣3分。该指标共17分，得分14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2、产出质量指标情况分析（分值14分，得分10.37分）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南昌市青少年宫教学场所等硬件条件有待改善使用，培训学员达标率，开展免费培训社区少年宫完成达标率及活动完成达标率等教学质量有待提高；比赛活动主题活动符合度，文艺演出主题活动符合度，美术书法展览主题活动符合度，组织举办活动主题符合度指标达到标准，但是由于收到疫情影响，全年存在大量停课退费，各项比赛演出活动也受影响未能展开。该指标共15分，得分</w:t>
      </w:r>
      <w:r>
        <w:rPr>
          <w:rFonts w:ascii="宋体" w:hAnsi="宋体"/>
          <w:color w:val="000000"/>
          <w:sz w:val="28"/>
          <w:szCs w:val="28"/>
        </w:rPr>
        <w:t>1</w:t>
      </w:r>
      <w:r>
        <w:rPr>
          <w:rFonts w:hint="eastAsia" w:ascii="宋体" w:hAnsi="宋体"/>
          <w:color w:val="000000"/>
          <w:sz w:val="28"/>
          <w:szCs w:val="28"/>
        </w:rPr>
        <w:t>0.37分。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3、产出时效指标情况分析（分值5分，得分2.3分）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因受到2022年散发疫情影响，南昌市青少年宫培训班开班级课程、文艺演出、美术书法展览、比赛、活动开展、免费社区少年宫开设等工作完成及时性不够，该指标分值为5分，共得2.3分。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4、产出成本指标情况分析（分值10分，得分10分）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南昌市青少年宫成本控制率达到100％，该指标分值10分，得10分。</w:t>
      </w:r>
    </w:p>
    <w:p>
      <w:pPr>
        <w:spacing w:line="560" w:lineRule="exact"/>
        <w:ind w:firstLine="562" w:firstLineChars="200"/>
        <w:rPr>
          <w:rFonts w:cs="仿宋_GB2312" w:asciiTheme="minorEastAsia" w:hAnsiTheme="minorEastAsia" w:eastAsiaTheme="minorEastAsia"/>
          <w:b/>
          <w:color w:val="000000"/>
          <w:kern w:val="0"/>
          <w:sz w:val="28"/>
          <w:szCs w:val="28"/>
        </w:rPr>
      </w:pPr>
      <w:r>
        <w:rPr>
          <w:rFonts w:hint="eastAsia" w:cs="仿宋_GB2312" w:asciiTheme="minorEastAsia" w:hAnsiTheme="minorEastAsia" w:eastAsiaTheme="minorEastAsia"/>
          <w:b/>
          <w:color w:val="000000"/>
          <w:kern w:val="0"/>
          <w:sz w:val="28"/>
          <w:szCs w:val="28"/>
        </w:rPr>
        <w:t>（四）项目效益情况分析。</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1、经济效益指标情况分析（分值1分，得分0分）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南昌市青少年宫青少年教育培训活动项目经费是通过“收支两条线”并纳入预算管理的方式保障的，没有增加财政负担，2022年受散发疫情影响，大量停课退费，该指标共1分，得0分。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2、社会效益指标情况分析（分值8分，得分8分）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南昌市青少年宫青少年教育培训活动项目既履行了青少年宫职责，又满足家长对提高自己小孩文化、科技和艺术等方面素质的需求，还提供近400人次就业岗位，又没有增加财政负担，是一个多赢的项目。参训学生学生文化艺术素养得到提升。该指标分值为8分，得8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3、生态效益指标情况分析（分值5分，得分5分）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青少年教育培训活动项目教学设备设施符合国家环保要求。生态效益由教学设备设施环保达标率衡量，该指标共5分，得5分。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4、可持续影响指标情况分析（分值10分，得分10分）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青少年宫注重教学场所安全，做到全年教学事故0发生，且项目资金使用到位，该项目分值10分。得10分。</w:t>
      </w:r>
    </w:p>
    <w:p>
      <w:pPr>
        <w:spacing w:line="560" w:lineRule="exact"/>
        <w:ind w:firstLine="562" w:firstLineChars="200"/>
        <w:rPr>
          <w:rFonts w:cs="仿宋_GB2312" w:asciiTheme="minorEastAsia" w:hAnsiTheme="minorEastAsia" w:eastAsiaTheme="minorEastAsia"/>
          <w:b/>
          <w:color w:val="000000"/>
          <w:kern w:val="0"/>
          <w:sz w:val="28"/>
          <w:szCs w:val="28"/>
        </w:rPr>
      </w:pPr>
      <w:r>
        <w:rPr>
          <w:rFonts w:hint="eastAsia" w:cs="仿宋_GB2312" w:asciiTheme="minorEastAsia" w:hAnsiTheme="minorEastAsia" w:eastAsiaTheme="minorEastAsia"/>
          <w:b/>
          <w:color w:val="000000"/>
          <w:kern w:val="0"/>
          <w:sz w:val="28"/>
          <w:szCs w:val="28"/>
        </w:rPr>
        <w:t>（五）项目满意度情况</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1、家长满意度（分值10分，得分7.37分）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广大家长满意度达到85%，未达到了预计目标（高于95％），由于教学及后勤保障工作不够精准有效。经考核，该指标分值10分，得分7.37分。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2、聘用老师满意度（分值10分，得分7.37分）</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聘用老师满意度达到85%，未达到了预计目标（高于95％），由于聘用老师所反映诉求未能得到很好的实现，后勤保障工作有待加强，经考核，该指标分值10分，得分7.37分。</w:t>
      </w:r>
    </w:p>
    <w:p>
      <w:pPr>
        <w:spacing w:line="56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五、主要经验及做法、存在的问题及原因分析</w:t>
      </w:r>
    </w:p>
    <w:p>
      <w:pPr>
        <w:spacing w:line="560" w:lineRule="exact"/>
        <w:ind w:firstLine="562" w:firstLineChars="2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（一）主要经验及做法</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坚持“先规划、再行动”，以规划任务目标统领全盘工作。在少儿培训项目实施工作开展之前，我单位就着手调查研究，制订南昌市青少年宫的工作计划和招生培训计划，初步确定少儿培训经费项目规划实施目标。</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强化前期工作，为项目实施奠定基础。在少儿培训经费项目实施前期工作中，我宫组织行政管理人员、教师及学生家长等相关人员座谈会，进行现场调查，再次对项目各方面指标进行判定，再次确定项目规划目标可达性。</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3、加强监督管理，确保项目进度和质量。</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进一步加强绩效结果的应用。一是抓好整改落实，强化结果应用。对项目初始预算执行进度提出了具体要求，对执行效果不佳的部室采取重点提醒；进一步建立健全了财务规章制度，并对相关的财务管理制度进行了及时修订。</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做好绩效目标和结果公开。按照要求，南昌市青少年宫在共青团南昌市委的网站上公开了年度项目绩效目标，向社会公开了部门整体支出绩效和项目绩效自评报告，所有内容均在规定时限内公开，切实做到依法公开、全面公开，全面接受社会监督。</w:t>
      </w:r>
    </w:p>
    <w:p>
      <w:pPr>
        <w:spacing w:line="560" w:lineRule="exact"/>
        <w:ind w:firstLine="562" w:firstLineChars="2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（二）存在的问题及原因分析</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部门预算绩效管理主体意识不强。部门在项目实施过程中，对培训、活动等支出的经济性重视不够，绩效管理理念还未深入，预算绩效管理主体意识不强，未将预算绩效管理作为加强预算管理，提升资金使用绩效的有效管理模式。</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部门预算绩效管理机构不健全。预算绩效管理工作政策性强、专业性强、涉及面广、操作难度大，对于基层从事此项工作的财务人员具有许多新的挑战。工学矛盾突出、重使用轻培养的问题普遍存在。预算绩效管理工作开展时间较短，加上缺乏系统的培训，无论是部门领导还是负责预算绩效管理人员，对预算绩效管理业务不专业。</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3、绩效指标编制不理想。绩效指标编制不理想，绩效指标没有完全、完整反映项目的绩效目标。共性指标设置难以量化，指标体系科学化设置难度较大，个别绩效指标量化程度不高，可考核性不强。</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4、由于散发疫情的影响，造成及时性绩效目标出现偏离；项目经费保障方式是实行“收支两条线”，以收定支，没有改善硬件条件的经费；管理制度的可操作性还不强；教师流动性大，造成教学质量不高。</w:t>
      </w:r>
    </w:p>
    <w:p>
      <w:pPr>
        <w:spacing w:line="560" w:lineRule="exact"/>
        <w:ind w:firstLine="562" w:firstLineChars="200"/>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（三）改进措施</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1、进一步加强部门预算项目支出绩效工作。在项目实施过程中，切实加强全过程预算绩效管理，及时整理、归纳、分析、反馈绩效情况，并将其作为改进预算管理和以后年度预算安排的重要依据。</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2、加强培训和指导。积极采取集中学习、讲座、专题会议等方式，加大对绩效评价管理工作参与人员的培训力度，进一步提升业务水平，充实业务知识。</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3、加强评价指标体系建设。汇总梳理以前年度制定的指标，将符合当前预算绩效管理要求和部门特点的个性指标整理建库，建立指标更新机制，将以后年度新制定的指标及时纳入指标库，做到随时更新、完善。</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统筹好常态化疫情防控和教学活动及管理工作；及时跟上级和财政部门沟通，争取财政对培训场所硬件改善的经费支持；健全完善相关管理制度；提高教师待遇，稳定教师队伍，加强教师教学水平培训，组织各教学部门开展听课评课、公开课、示范课、优秀教案展示、交流研讨等多种活动,采取请进来和走出去的方式不断提高教学质量；</w:t>
      </w:r>
      <w:r>
        <w:rPr>
          <w:rFonts w:hint="eastAsia" w:ascii="仿宋" w:hAnsi="宋体" w:eastAsia="仿宋" w:cs="宋体"/>
          <w:color w:val="000000"/>
          <w:kern w:val="0"/>
          <w:sz w:val="30"/>
          <w:szCs w:val="30"/>
        </w:rPr>
        <w:t>内</w:t>
      </w:r>
      <w:r>
        <w:rPr>
          <w:rFonts w:hint="eastAsia" w:asciiTheme="minorEastAsia" w:hAnsiTheme="minorEastAsia" w:eastAsiaTheme="minorEastAsia"/>
          <w:color w:val="000000"/>
          <w:sz w:val="28"/>
          <w:szCs w:val="28"/>
        </w:rPr>
        <w:t>抓教学，外塑形象。</w:t>
      </w:r>
    </w:p>
    <w:p>
      <w:pPr>
        <w:spacing w:line="56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六、有关建议</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建议财政安排南昌市青少年宫青少年教育培训活动项目年度预算时，尽量能按单位申报的南昌市青少年宫青少年教育培训活动项目的经费数下达，减少追加纳入预算管理资金数，提高项目资金预算的准确性。</w:t>
      </w:r>
    </w:p>
    <w:p>
      <w:pPr>
        <w:numPr>
          <w:ilvl w:val="0"/>
          <w:numId w:val="1"/>
        </w:numPr>
        <w:spacing w:line="560" w:lineRule="exact"/>
        <w:ind w:firstLine="562" w:firstLineChars="200"/>
        <w:rPr>
          <w:rFonts w:ascii="黑体" w:hAnsi="黑体" w:eastAsia="黑体"/>
          <w:b/>
          <w:color w:val="000000"/>
          <w:sz w:val="28"/>
          <w:szCs w:val="28"/>
        </w:rPr>
      </w:pPr>
      <w:r>
        <w:rPr>
          <w:rFonts w:hint="eastAsia" w:ascii="黑体" w:hAnsi="黑体" w:eastAsia="黑体"/>
          <w:b/>
          <w:color w:val="000000"/>
          <w:sz w:val="28"/>
          <w:szCs w:val="28"/>
        </w:rPr>
        <w:t>其他需要说明的问题</w:t>
      </w:r>
    </w:p>
    <w:p>
      <w:pPr>
        <w:spacing w:line="560" w:lineRule="exact"/>
        <w:ind w:firstLine="560" w:firstLineChars="200"/>
        <w:rPr>
          <w:rFonts w:asciiTheme="minorEastAsia" w:hAnsiTheme="minorEastAsia" w:eastAsiaTheme="minorEastAsia"/>
          <w:color w:val="000000"/>
          <w:sz w:val="28"/>
          <w:szCs w:val="28"/>
        </w:rPr>
        <w:sectPr>
          <w:headerReference r:id="rId3" w:type="default"/>
          <w:footerReference r:id="rId4" w:type="default"/>
          <w:footerReference r:id="rId5" w:type="even"/>
          <w:pgSz w:w="11906" w:h="16838"/>
          <w:pgMar w:top="1418" w:right="1418" w:bottom="1418" w:left="1418" w:header="851" w:footer="992" w:gutter="0"/>
          <w:cols w:space="720" w:num="1"/>
          <w:docGrid w:type="lines" w:linePitch="312" w:charSpace="0"/>
        </w:sectPr>
      </w:pPr>
      <w:r>
        <w:rPr>
          <w:rFonts w:hint="eastAsia" w:asciiTheme="minorEastAsia" w:hAnsiTheme="minorEastAsia" w:eastAsiaTheme="minorEastAsia"/>
          <w:color w:val="000000"/>
          <w:sz w:val="28"/>
          <w:szCs w:val="28"/>
        </w:rPr>
        <w:t>无。</w:t>
      </w: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p>
      <w:r>
        <w:drawing>
          <wp:inline distT="0" distB="0" distL="0" distR="0">
            <wp:extent cx="5274310" cy="7419975"/>
            <wp:effectExtent l="19050" t="0" r="254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7"/>
                    <a:srcRect t="4768"/>
                    <a:stretch>
                      <a:fillRect/>
                    </a:stretch>
                  </pic:blipFill>
                  <pic:spPr>
                    <a:xfrm>
                      <a:off x="0" y="0"/>
                      <a:ext cx="5274310" cy="7419975"/>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2B1FE"/>
    <w:multiLevelType w:val="singleLevel"/>
    <w:tmpl w:val="AF32B1F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kYmRiZTc0MDBmNzMwY2RkODFhZDUyZWIwN2NhMDcifQ=="/>
  </w:docVars>
  <w:rsids>
    <w:rsidRoot w:val="000F7111"/>
    <w:rsid w:val="000935C5"/>
    <w:rsid w:val="000F7111"/>
    <w:rsid w:val="00177A6A"/>
    <w:rsid w:val="00261AF2"/>
    <w:rsid w:val="0029304C"/>
    <w:rsid w:val="00371243"/>
    <w:rsid w:val="003B5B35"/>
    <w:rsid w:val="003D6970"/>
    <w:rsid w:val="00463A9A"/>
    <w:rsid w:val="00567561"/>
    <w:rsid w:val="006134F1"/>
    <w:rsid w:val="006E7336"/>
    <w:rsid w:val="007F52FE"/>
    <w:rsid w:val="0094343B"/>
    <w:rsid w:val="00A56E43"/>
    <w:rsid w:val="00A62F29"/>
    <w:rsid w:val="00CE0BFE"/>
    <w:rsid w:val="00D879BE"/>
    <w:rsid w:val="00E2572E"/>
    <w:rsid w:val="00E43F42"/>
    <w:rsid w:val="00E72A6B"/>
    <w:rsid w:val="00FB5CF2"/>
    <w:rsid w:val="11452D31"/>
    <w:rsid w:val="12591A59"/>
    <w:rsid w:val="17EB311A"/>
    <w:rsid w:val="5B793177"/>
    <w:rsid w:val="7BE07A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szCs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font51"/>
    <w:qFormat/>
    <w:uiPriority w:val="0"/>
    <w:rPr>
      <w:rFonts w:hint="eastAsia" w:ascii="宋体" w:hAnsi="宋体" w:eastAsia="宋体"/>
      <w:color w:val="000000"/>
      <w:sz w:val="24"/>
      <w:szCs w:val="24"/>
      <w:u w:val="none"/>
    </w:rPr>
  </w:style>
  <w:style w:type="character" w:customStyle="1" w:styleId="12">
    <w:name w:val="font41"/>
    <w:qFormat/>
    <w:uiPriority w:val="0"/>
    <w:rPr>
      <w:rFonts w:hint="eastAsia" w:ascii="宋体" w:hAnsi="宋体" w:eastAsia="宋体" w:cs="宋体"/>
      <w:color w:val="000000"/>
      <w:sz w:val="24"/>
      <w:szCs w:val="24"/>
      <w:u w:val="none"/>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845</Words>
  <Characters>4822</Characters>
  <Lines>40</Lines>
  <Paragraphs>11</Paragraphs>
  <TotalTime>1</TotalTime>
  <ScaleCrop>false</ScaleCrop>
  <LinksUpToDate>false</LinksUpToDate>
  <CharactersWithSpaces>5656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2023-09-25T06:47:00Z</dcterms:created>
  <dc:creator>pc</dc:creator>
  <cp:lastModifiedBy>G&amp;c</cp:lastModifiedBy>
  <dcterms:modified xsi:type="dcterms:W3CDTF">2023-09-25T07:29:39Z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E752F0D5CE3E425AA336B7F5F17CD5DE</vt:lpwstr>
  </property>
</Properties>
</file>